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507" w:rsidRPr="00C21C6B" w:rsidRDefault="005D4507" w:rsidP="005D4507">
      <w:pPr>
        <w:rPr>
          <w:rFonts w:ascii="Times New Roman" w:hAnsi="Times New Roman" w:cs="Times New Roman"/>
          <w:b/>
          <w:sz w:val="28"/>
          <w:szCs w:val="28"/>
        </w:rPr>
      </w:pPr>
      <w:r w:rsidRPr="00C21C6B">
        <w:rPr>
          <w:rFonts w:ascii="Times New Roman" w:hAnsi="Times New Roman" w:cs="Times New Roman"/>
          <w:b/>
          <w:sz w:val="28"/>
          <w:szCs w:val="28"/>
        </w:rPr>
        <w:t>JUSTIFICATIVA PARA DISPENSA DE LICITAÇÃO</w:t>
      </w:r>
    </w:p>
    <w:p w:rsidR="005D4507" w:rsidRPr="005D4507" w:rsidRDefault="005D4507" w:rsidP="005D4507">
      <w:pPr>
        <w:rPr>
          <w:rFonts w:ascii="Times New Roman" w:hAnsi="Times New Roman" w:cs="Times New Roman"/>
          <w:sz w:val="24"/>
          <w:szCs w:val="24"/>
        </w:rPr>
      </w:pPr>
      <w:r w:rsidRPr="005D4507">
        <w:rPr>
          <w:rFonts w:ascii="Times New Roman" w:hAnsi="Times New Roman" w:cs="Times New Roman"/>
          <w:sz w:val="24"/>
          <w:szCs w:val="24"/>
        </w:rPr>
        <w:t>Processo Admini</w:t>
      </w:r>
      <w:r w:rsidRPr="005D4507">
        <w:rPr>
          <w:rFonts w:ascii="Times New Roman" w:hAnsi="Times New Roman" w:cs="Times New Roman"/>
          <w:sz w:val="24"/>
          <w:szCs w:val="24"/>
        </w:rPr>
        <w:t>strativo Nº DL 37/2025</w:t>
      </w:r>
    </w:p>
    <w:p w:rsidR="005D4507" w:rsidRPr="005D4507" w:rsidRDefault="005D4507" w:rsidP="005D4507">
      <w:pPr>
        <w:rPr>
          <w:rFonts w:ascii="Times New Roman" w:hAnsi="Times New Roman" w:cs="Times New Roman"/>
          <w:sz w:val="24"/>
          <w:szCs w:val="24"/>
        </w:rPr>
      </w:pPr>
      <w:r w:rsidRPr="005D4507">
        <w:rPr>
          <w:rFonts w:ascii="Times New Roman" w:hAnsi="Times New Roman" w:cs="Times New Roman"/>
          <w:sz w:val="24"/>
          <w:szCs w:val="24"/>
        </w:rPr>
        <w:t>Assunto: Contratação emergencial de serviços de arbitragem para jogos de futsal.</w:t>
      </w:r>
    </w:p>
    <w:p w:rsidR="005D4507" w:rsidRPr="005D4507" w:rsidRDefault="005D4507" w:rsidP="005D4507">
      <w:pPr>
        <w:rPr>
          <w:rFonts w:ascii="Times New Roman" w:hAnsi="Times New Roman" w:cs="Times New Roman"/>
          <w:sz w:val="24"/>
          <w:szCs w:val="24"/>
        </w:rPr>
      </w:pPr>
    </w:p>
    <w:p w:rsidR="005D4507" w:rsidRPr="005D4507" w:rsidRDefault="005D4507" w:rsidP="005D4507">
      <w:pPr>
        <w:jc w:val="both"/>
        <w:rPr>
          <w:rFonts w:ascii="Times New Roman" w:hAnsi="Times New Roman" w:cs="Times New Roman"/>
          <w:sz w:val="24"/>
          <w:szCs w:val="24"/>
        </w:rPr>
      </w:pPr>
      <w:r w:rsidRPr="005D4507">
        <w:rPr>
          <w:rFonts w:ascii="Times New Roman" w:hAnsi="Times New Roman" w:cs="Times New Roman"/>
          <w:sz w:val="24"/>
          <w:szCs w:val="24"/>
        </w:rPr>
        <w:t>O Município de Quinze de Novembro/RS, por meio da Secretaria Municipal de Esportes e Lazer, vem por meio desta justificar a necessidade e a adequação da contratação direta dos serviços de arbitragem para 16 jogos de futsal, no período de 13 a 29 de junho de 2025, com base no Art. 7</w:t>
      </w:r>
      <w:r w:rsidR="00C21C6B">
        <w:rPr>
          <w:rFonts w:ascii="Times New Roman" w:hAnsi="Times New Roman" w:cs="Times New Roman"/>
          <w:sz w:val="24"/>
          <w:szCs w:val="24"/>
        </w:rPr>
        <w:t xml:space="preserve">5, inciso </w:t>
      </w:r>
      <w:r w:rsidRPr="005D4507">
        <w:rPr>
          <w:rFonts w:ascii="Times New Roman" w:hAnsi="Times New Roman" w:cs="Times New Roman"/>
          <w:sz w:val="24"/>
          <w:szCs w:val="24"/>
        </w:rPr>
        <w:t>V</w:t>
      </w:r>
      <w:r w:rsidR="00C21C6B">
        <w:rPr>
          <w:rFonts w:ascii="Times New Roman" w:hAnsi="Times New Roman" w:cs="Times New Roman"/>
          <w:sz w:val="24"/>
          <w:szCs w:val="24"/>
        </w:rPr>
        <w:t>III</w:t>
      </w:r>
      <w:r w:rsidRPr="005D4507">
        <w:rPr>
          <w:rFonts w:ascii="Times New Roman" w:hAnsi="Times New Roman" w:cs="Times New Roman"/>
          <w:sz w:val="24"/>
          <w:szCs w:val="24"/>
        </w:rPr>
        <w:t>, da Lei Federal nº 14.133/2021.</w:t>
      </w:r>
    </w:p>
    <w:p w:rsidR="005D4507" w:rsidRPr="005D4507" w:rsidRDefault="005D4507" w:rsidP="005D4507">
      <w:pPr>
        <w:rPr>
          <w:rFonts w:ascii="Times New Roman" w:hAnsi="Times New Roman" w:cs="Times New Roman"/>
          <w:sz w:val="24"/>
          <w:szCs w:val="24"/>
        </w:rPr>
      </w:pPr>
    </w:p>
    <w:p w:rsidR="005D4507" w:rsidRPr="00C21C6B" w:rsidRDefault="005D4507" w:rsidP="00C21C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C6B">
        <w:rPr>
          <w:rFonts w:ascii="Times New Roman" w:hAnsi="Times New Roman" w:cs="Times New Roman"/>
          <w:b/>
          <w:sz w:val="24"/>
          <w:szCs w:val="24"/>
        </w:rPr>
        <w:t>1. DA SITUAÇÃO EMERGENCIAL E SUA IMPREVISIBILIDADE</w:t>
      </w:r>
    </w:p>
    <w:p w:rsidR="005D4507" w:rsidRPr="005D4507" w:rsidRDefault="005D4507" w:rsidP="00C21C6B">
      <w:pPr>
        <w:jc w:val="both"/>
        <w:rPr>
          <w:rFonts w:ascii="Times New Roman" w:hAnsi="Times New Roman" w:cs="Times New Roman"/>
          <w:sz w:val="24"/>
          <w:szCs w:val="24"/>
        </w:rPr>
      </w:pPr>
      <w:r w:rsidRPr="005D4507">
        <w:rPr>
          <w:rFonts w:ascii="Times New Roman" w:hAnsi="Times New Roman" w:cs="Times New Roman"/>
          <w:sz w:val="24"/>
          <w:szCs w:val="24"/>
        </w:rPr>
        <w:t>A urgência que fundamenta esta dispensa decorre de um fato superveniente e imprevisível que inviabilizou a conclusão do processo licitatório regular em tempo hábil. O Pregão Eletrônico nº 08/2025, que tinha por objeto a contratação dos serviços em questão, encontra-se suspenso por recurso administrativo. A tramitação e análise do referido recurso extrapolam os prazos necessários para a contratação dos árbitros antes da data de início dos jogos programados.</w:t>
      </w:r>
    </w:p>
    <w:p w:rsidR="005D4507" w:rsidRDefault="005D4507" w:rsidP="00C21C6B">
      <w:pPr>
        <w:jc w:val="both"/>
        <w:rPr>
          <w:rFonts w:ascii="Times New Roman" w:hAnsi="Times New Roman" w:cs="Times New Roman"/>
          <w:sz w:val="24"/>
          <w:szCs w:val="24"/>
        </w:rPr>
      </w:pPr>
      <w:r w:rsidRPr="005D4507">
        <w:rPr>
          <w:rFonts w:ascii="Times New Roman" w:hAnsi="Times New Roman" w:cs="Times New Roman"/>
          <w:sz w:val="24"/>
          <w:szCs w:val="24"/>
        </w:rPr>
        <w:t>Conforme detalhado no Estudo Técnico Preliminar, a suspensão do processo licitatório não era um cenário previsível no momento da elaboração do calendário esportivo municipal. Essa intercorrência administrativa, alheia à vontade da administração pública, criou uma situação de emergência que exige uma resposta imediata para evitar a descontinuidade de um serviço essencial e a consequente ocorrência de prejuízos irreversíveis.</w:t>
      </w:r>
    </w:p>
    <w:p w:rsidR="00C21C6B" w:rsidRPr="005D4507" w:rsidRDefault="00C21C6B" w:rsidP="00C21C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507" w:rsidRPr="00C21C6B" w:rsidRDefault="005D4507" w:rsidP="005D4507">
      <w:pPr>
        <w:rPr>
          <w:rFonts w:ascii="Times New Roman" w:hAnsi="Times New Roman" w:cs="Times New Roman"/>
          <w:b/>
          <w:sz w:val="24"/>
          <w:szCs w:val="24"/>
        </w:rPr>
      </w:pPr>
      <w:r w:rsidRPr="00C21C6B">
        <w:rPr>
          <w:rFonts w:ascii="Times New Roman" w:hAnsi="Times New Roman" w:cs="Times New Roman"/>
          <w:b/>
          <w:sz w:val="24"/>
          <w:szCs w:val="24"/>
        </w:rPr>
        <w:t>2. DO CALENDÁRIO IRREVERSÍVEL E DOS PREJUÍZOS CONCRETOS</w:t>
      </w:r>
    </w:p>
    <w:p w:rsidR="005D4507" w:rsidRPr="005D4507" w:rsidRDefault="005D4507" w:rsidP="00C21C6B">
      <w:pPr>
        <w:jc w:val="both"/>
        <w:rPr>
          <w:rFonts w:ascii="Times New Roman" w:hAnsi="Times New Roman" w:cs="Times New Roman"/>
          <w:sz w:val="24"/>
          <w:szCs w:val="24"/>
        </w:rPr>
      </w:pPr>
      <w:r w:rsidRPr="005D4507">
        <w:rPr>
          <w:rFonts w:ascii="Times New Roman" w:hAnsi="Times New Roman" w:cs="Times New Roman"/>
          <w:sz w:val="24"/>
          <w:szCs w:val="24"/>
        </w:rPr>
        <w:t>O calendário de jogos de futsal, envolvendo 16 partidas cruciais para a continuidade do torneio municipal, já foi amplamente divulgado à comunidade e às equipes participantes. A realização desses jogos, previstos para ocorrer entre 13 e 29 de junho de 2025, gera uma expectativa considerável entre atletas, comissão técnica, torcedores e patrocinadores, que investiram tempo, recursos e preparação física.</w:t>
      </w:r>
    </w:p>
    <w:p w:rsidR="005D4507" w:rsidRPr="005D4507" w:rsidRDefault="005D4507" w:rsidP="00C21C6B">
      <w:pPr>
        <w:jc w:val="both"/>
        <w:rPr>
          <w:rFonts w:ascii="Times New Roman" w:hAnsi="Times New Roman" w:cs="Times New Roman"/>
          <w:sz w:val="24"/>
          <w:szCs w:val="24"/>
        </w:rPr>
      </w:pPr>
      <w:r w:rsidRPr="005D4507">
        <w:rPr>
          <w:rFonts w:ascii="Times New Roman" w:hAnsi="Times New Roman" w:cs="Times New Roman"/>
          <w:sz w:val="24"/>
          <w:szCs w:val="24"/>
        </w:rPr>
        <w:t>O não cumprimento deste calendário, em decorrência da ausência de arbitragem, acarretaria prejuízos concretos e de difícil reparação, tais como:</w:t>
      </w:r>
    </w:p>
    <w:p w:rsidR="005D4507" w:rsidRPr="005D4507" w:rsidRDefault="005D4507" w:rsidP="00C21C6B">
      <w:pPr>
        <w:jc w:val="both"/>
        <w:rPr>
          <w:rFonts w:ascii="Times New Roman" w:hAnsi="Times New Roman" w:cs="Times New Roman"/>
          <w:sz w:val="24"/>
          <w:szCs w:val="24"/>
        </w:rPr>
      </w:pPr>
      <w:r w:rsidRPr="005D4507">
        <w:rPr>
          <w:rFonts w:ascii="Times New Roman" w:hAnsi="Times New Roman" w:cs="Times New Roman"/>
          <w:sz w:val="24"/>
          <w:szCs w:val="24"/>
        </w:rPr>
        <w:t>Danos à organização do evento: Significativos custos já foram realizados pela administração municipal e parceiros com estrutura, divulgação e logística para o torneio. O cancelamento ou adiamento geraria a perda desses investimentos e a necessidade de readequação de todo o planejamento.</w:t>
      </w:r>
    </w:p>
    <w:p w:rsidR="005D4507" w:rsidRPr="005D4507" w:rsidRDefault="005D4507" w:rsidP="00C21C6B">
      <w:pPr>
        <w:jc w:val="both"/>
        <w:rPr>
          <w:rFonts w:ascii="Times New Roman" w:hAnsi="Times New Roman" w:cs="Times New Roman"/>
          <w:sz w:val="24"/>
          <w:szCs w:val="24"/>
        </w:rPr>
      </w:pPr>
      <w:r w:rsidRPr="005D4507">
        <w:rPr>
          <w:rFonts w:ascii="Times New Roman" w:hAnsi="Times New Roman" w:cs="Times New Roman"/>
          <w:sz w:val="24"/>
          <w:szCs w:val="24"/>
        </w:rPr>
        <w:t>Prejuízo aos atletas e clubes: As equipes realizaram considerável preparação física, investiram em deslocamento, uniformes, inscrições e outras despesas. A interrupção do torneio por falta de arbitragem resultaria em frustração e desvalorização de todo esse esforço.</w:t>
      </w:r>
    </w:p>
    <w:p w:rsidR="005D4507" w:rsidRDefault="005D4507" w:rsidP="00C21C6B">
      <w:pPr>
        <w:jc w:val="both"/>
        <w:rPr>
          <w:rFonts w:ascii="Times New Roman" w:hAnsi="Times New Roman" w:cs="Times New Roman"/>
          <w:sz w:val="24"/>
          <w:szCs w:val="24"/>
        </w:rPr>
      </w:pPr>
      <w:r w:rsidRPr="005D4507">
        <w:rPr>
          <w:rFonts w:ascii="Times New Roman" w:hAnsi="Times New Roman" w:cs="Times New Roman"/>
          <w:sz w:val="24"/>
          <w:szCs w:val="24"/>
        </w:rPr>
        <w:lastRenderedPageBreak/>
        <w:t>Risco de cancelamento do torneio: A não realização das partidas no período estipulado pode levar ao cancelamento total do torneio, o que afetaria gravemente a política pública de esporte e lazer do Município, comprometendo a credibilidade da gestão e o fomento ao futsal local. A continuidade do evento é fundamental para o cumprimento dos objetivos sociais e desportivos da Secretaria de Esportes e Lazer.</w:t>
      </w:r>
    </w:p>
    <w:p w:rsidR="00C21C6B" w:rsidRPr="005D4507" w:rsidRDefault="00C21C6B" w:rsidP="00C21C6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D4507" w:rsidRPr="00C21C6B" w:rsidRDefault="005D4507" w:rsidP="005D4507">
      <w:pPr>
        <w:rPr>
          <w:rFonts w:ascii="Times New Roman" w:hAnsi="Times New Roman" w:cs="Times New Roman"/>
          <w:b/>
          <w:sz w:val="24"/>
          <w:szCs w:val="24"/>
        </w:rPr>
      </w:pPr>
      <w:r w:rsidRPr="00C21C6B">
        <w:rPr>
          <w:rFonts w:ascii="Times New Roman" w:hAnsi="Times New Roman" w:cs="Times New Roman"/>
          <w:b/>
          <w:sz w:val="24"/>
          <w:szCs w:val="24"/>
        </w:rPr>
        <w:t>3. DA ADEQUAÇÃO E VIABILIDADE DA CONTRATAÇÃO DIRETA</w:t>
      </w:r>
    </w:p>
    <w:p w:rsidR="005D4507" w:rsidRPr="005D4507" w:rsidRDefault="005D4507" w:rsidP="00C21C6B">
      <w:pPr>
        <w:jc w:val="both"/>
        <w:rPr>
          <w:rFonts w:ascii="Times New Roman" w:hAnsi="Times New Roman" w:cs="Times New Roman"/>
          <w:sz w:val="24"/>
          <w:szCs w:val="24"/>
        </w:rPr>
      </w:pPr>
      <w:r w:rsidRPr="005D4507">
        <w:rPr>
          <w:rFonts w:ascii="Times New Roman" w:hAnsi="Times New Roman" w:cs="Times New Roman"/>
          <w:sz w:val="24"/>
          <w:szCs w:val="24"/>
        </w:rPr>
        <w:t>Diante do exposto, a contratação emergencial dos serviços de arbitragem, com um valor unitário de R237,00</w:t>
      </w:r>
      <w:r w:rsidRPr="005D4507">
        <w:rPr>
          <w:rFonts w:ascii="Times New Roman" w:hAnsi="Times New Roman" w:cs="Times New Roman"/>
          <w:sz w:val="24"/>
          <w:szCs w:val="24"/>
        </w:rPr>
        <w:t xml:space="preserve"> </w:t>
      </w:r>
      <w:r w:rsidRPr="005D4507">
        <w:rPr>
          <w:rFonts w:ascii="Times New Roman" w:hAnsi="Times New Roman" w:cs="Times New Roman"/>
          <w:sz w:val="24"/>
          <w:szCs w:val="24"/>
        </w:rPr>
        <w:t>por</w:t>
      </w:r>
      <w:r w:rsidRPr="005D4507">
        <w:rPr>
          <w:rFonts w:ascii="Times New Roman" w:hAnsi="Times New Roman" w:cs="Times New Roman"/>
          <w:sz w:val="24"/>
          <w:szCs w:val="24"/>
        </w:rPr>
        <w:t xml:space="preserve"> </w:t>
      </w:r>
      <w:r w:rsidRPr="005D4507">
        <w:rPr>
          <w:rFonts w:ascii="Times New Roman" w:hAnsi="Times New Roman" w:cs="Times New Roman"/>
          <w:sz w:val="24"/>
          <w:szCs w:val="24"/>
        </w:rPr>
        <w:t>jogo</w:t>
      </w:r>
      <w:r w:rsidRPr="005D4507">
        <w:rPr>
          <w:rFonts w:ascii="Times New Roman" w:hAnsi="Times New Roman" w:cs="Times New Roman"/>
          <w:sz w:val="24"/>
          <w:szCs w:val="24"/>
        </w:rPr>
        <w:t xml:space="preserve"> </w:t>
      </w:r>
      <w:r w:rsidRPr="005D4507">
        <w:rPr>
          <w:rFonts w:ascii="Times New Roman" w:hAnsi="Times New Roman" w:cs="Times New Roman"/>
          <w:sz w:val="24"/>
          <w:szCs w:val="24"/>
        </w:rPr>
        <w:t>para</w:t>
      </w:r>
      <w:r w:rsidRPr="005D4507">
        <w:rPr>
          <w:rFonts w:ascii="Times New Roman" w:hAnsi="Times New Roman" w:cs="Times New Roman"/>
          <w:sz w:val="24"/>
          <w:szCs w:val="24"/>
        </w:rPr>
        <w:t xml:space="preserve"> </w:t>
      </w:r>
      <w:r w:rsidRPr="005D4507">
        <w:rPr>
          <w:rFonts w:ascii="Times New Roman" w:hAnsi="Times New Roman" w:cs="Times New Roman"/>
          <w:sz w:val="24"/>
          <w:szCs w:val="24"/>
        </w:rPr>
        <w:t>um</w:t>
      </w:r>
      <w:r w:rsidRPr="005D4507">
        <w:rPr>
          <w:rFonts w:ascii="Times New Roman" w:hAnsi="Times New Roman" w:cs="Times New Roman"/>
          <w:sz w:val="24"/>
          <w:szCs w:val="24"/>
        </w:rPr>
        <w:t xml:space="preserve"> </w:t>
      </w:r>
      <w:r w:rsidRPr="005D4507">
        <w:rPr>
          <w:rFonts w:ascii="Times New Roman" w:hAnsi="Times New Roman" w:cs="Times New Roman"/>
          <w:sz w:val="24"/>
          <w:szCs w:val="24"/>
        </w:rPr>
        <w:t>quadro</w:t>
      </w:r>
      <w:r w:rsidRPr="005D4507">
        <w:rPr>
          <w:rFonts w:ascii="Times New Roman" w:hAnsi="Times New Roman" w:cs="Times New Roman"/>
          <w:sz w:val="24"/>
          <w:szCs w:val="24"/>
        </w:rPr>
        <w:t xml:space="preserve"> </w:t>
      </w:r>
      <w:r w:rsidRPr="005D4507">
        <w:rPr>
          <w:rFonts w:ascii="Times New Roman" w:hAnsi="Times New Roman" w:cs="Times New Roman"/>
          <w:sz w:val="24"/>
          <w:szCs w:val="24"/>
        </w:rPr>
        <w:t>de</w:t>
      </w:r>
      <w:r w:rsidRPr="005D4507">
        <w:rPr>
          <w:rFonts w:ascii="Times New Roman" w:hAnsi="Times New Roman" w:cs="Times New Roman"/>
          <w:sz w:val="24"/>
          <w:szCs w:val="24"/>
        </w:rPr>
        <w:t xml:space="preserve"> </w:t>
      </w:r>
      <w:r w:rsidRPr="005D4507">
        <w:rPr>
          <w:rFonts w:ascii="Times New Roman" w:hAnsi="Times New Roman" w:cs="Times New Roman"/>
          <w:sz w:val="24"/>
          <w:szCs w:val="24"/>
        </w:rPr>
        <w:t>tr</w:t>
      </w:r>
      <w:r w:rsidRPr="005D4507">
        <w:rPr>
          <w:rFonts w:ascii="Times New Roman" w:hAnsi="Times New Roman" w:cs="Times New Roman"/>
          <w:sz w:val="24"/>
          <w:szCs w:val="24"/>
        </w:rPr>
        <w:t>ês</w:t>
      </w:r>
      <w:r w:rsidRPr="005D45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5D4507">
        <w:rPr>
          <w:rFonts w:ascii="Times New Roman" w:hAnsi="Times New Roman" w:cs="Times New Roman"/>
          <w:sz w:val="24"/>
          <w:szCs w:val="24"/>
        </w:rPr>
        <w:t>rbitros,</w:t>
      </w:r>
      <w:r w:rsidRPr="005D4507">
        <w:rPr>
          <w:rFonts w:ascii="Times New Roman" w:hAnsi="Times New Roman" w:cs="Times New Roman"/>
          <w:sz w:val="24"/>
          <w:szCs w:val="24"/>
        </w:rPr>
        <w:t xml:space="preserve"> </w:t>
      </w:r>
      <w:r w:rsidRPr="005D4507">
        <w:rPr>
          <w:rFonts w:ascii="Times New Roman" w:hAnsi="Times New Roman" w:cs="Times New Roman"/>
          <w:sz w:val="24"/>
          <w:szCs w:val="24"/>
        </w:rPr>
        <w:t>totalizando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C6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$</w:t>
      </w:r>
      <w:r w:rsidR="00C21C6B">
        <w:rPr>
          <w:rFonts w:ascii="Times New Roman" w:hAnsi="Times New Roman" w:cs="Times New Roman"/>
          <w:sz w:val="24"/>
          <w:szCs w:val="24"/>
        </w:rPr>
        <w:t xml:space="preserve"> </w:t>
      </w:r>
      <w:r w:rsidRPr="005D4507">
        <w:rPr>
          <w:rFonts w:ascii="Times New Roman" w:hAnsi="Times New Roman" w:cs="Times New Roman"/>
          <w:sz w:val="24"/>
          <w:szCs w:val="24"/>
        </w:rPr>
        <w:t>3.792,00 para os 16 jogos, apresenta-se como a única solução viável e tempestiva para mitigar os riscos e prejuízos iminentes.</w:t>
      </w:r>
    </w:p>
    <w:p w:rsidR="005D4507" w:rsidRDefault="005D4507" w:rsidP="005D4507">
      <w:pPr>
        <w:jc w:val="both"/>
        <w:rPr>
          <w:rFonts w:ascii="Times New Roman" w:hAnsi="Times New Roman" w:cs="Times New Roman"/>
          <w:sz w:val="24"/>
          <w:szCs w:val="24"/>
        </w:rPr>
      </w:pPr>
      <w:r w:rsidRPr="005D4507">
        <w:rPr>
          <w:rFonts w:ascii="Times New Roman" w:hAnsi="Times New Roman" w:cs="Times New Roman"/>
          <w:sz w:val="24"/>
          <w:szCs w:val="24"/>
        </w:rPr>
        <w:t>Ressalta-se que o valor proposto está alinhado com a média de mercado para serviços de arbitragem de futsal amador na região do Rio Grande do Sul (média de R</w:t>
      </w:r>
      <w:r w:rsidR="00C21C6B">
        <w:rPr>
          <w:rFonts w:ascii="Times New Roman" w:hAnsi="Times New Roman" w:cs="Times New Roman"/>
          <w:sz w:val="24"/>
          <w:szCs w:val="24"/>
        </w:rPr>
        <w:t>$</w:t>
      </w:r>
      <w:r w:rsidRPr="005D4507">
        <w:rPr>
          <w:rFonts w:ascii="Times New Roman" w:hAnsi="Times New Roman" w:cs="Times New Roman"/>
          <w:sz w:val="24"/>
          <w:szCs w:val="24"/>
        </w:rPr>
        <w:t>200</w:t>
      </w:r>
      <w:r w:rsidRPr="005D4507">
        <w:rPr>
          <w:rFonts w:ascii="Times New Roman" w:hAnsi="Times New Roman" w:cs="Times New Roman"/>
          <w:sz w:val="24"/>
          <w:szCs w:val="24"/>
        </w:rPr>
        <w:t xml:space="preserve"> </w:t>
      </w:r>
      <w:r w:rsidRPr="005D4507">
        <w:rPr>
          <w:rFonts w:ascii="Times New Roman" w:hAnsi="Times New Roman" w:cs="Times New Roman"/>
          <w:sz w:val="24"/>
          <w:szCs w:val="24"/>
        </w:rPr>
        <w:t>a</w:t>
      </w:r>
      <w:r w:rsidRPr="005D4507">
        <w:rPr>
          <w:rFonts w:ascii="Times New Roman" w:hAnsi="Times New Roman" w:cs="Times New Roman"/>
          <w:sz w:val="24"/>
          <w:szCs w:val="24"/>
        </w:rPr>
        <w:t xml:space="preserve"> </w:t>
      </w:r>
      <w:r w:rsidRPr="005D4507">
        <w:rPr>
          <w:rFonts w:ascii="Times New Roman" w:hAnsi="Times New Roman" w:cs="Times New Roman"/>
          <w:sz w:val="24"/>
          <w:szCs w:val="24"/>
        </w:rPr>
        <w:t>R</w:t>
      </w:r>
      <w:r w:rsidR="00C21C6B">
        <w:rPr>
          <w:rFonts w:ascii="Times New Roman" w:hAnsi="Times New Roman" w:cs="Times New Roman"/>
          <w:sz w:val="24"/>
          <w:szCs w:val="24"/>
        </w:rPr>
        <w:t>$</w:t>
      </w:r>
      <w:r w:rsidRPr="005D4507">
        <w:rPr>
          <w:rFonts w:ascii="Times New Roman" w:hAnsi="Times New Roman" w:cs="Times New Roman"/>
          <w:sz w:val="24"/>
          <w:szCs w:val="24"/>
        </w:rPr>
        <w:t xml:space="preserve"> 250 por jogo), conforme indicado no ETP, o que garante a economicidade da contratação. A urgência exige a seleção de um fornecedor com disponibilidade imediata e comprovação de regularidade fiscal e técnica, critérios que serão verificados no processo.</w:t>
      </w:r>
    </w:p>
    <w:p w:rsidR="00C21C6B" w:rsidRPr="005D4507" w:rsidRDefault="00C21C6B" w:rsidP="005D4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507" w:rsidRPr="005D4507" w:rsidRDefault="005D4507" w:rsidP="005D4507">
      <w:pPr>
        <w:rPr>
          <w:rFonts w:ascii="Times New Roman" w:hAnsi="Times New Roman" w:cs="Times New Roman"/>
          <w:b/>
          <w:sz w:val="24"/>
          <w:szCs w:val="24"/>
        </w:rPr>
      </w:pPr>
      <w:r w:rsidRPr="005D4507">
        <w:rPr>
          <w:rFonts w:ascii="Times New Roman" w:hAnsi="Times New Roman" w:cs="Times New Roman"/>
          <w:b/>
          <w:sz w:val="24"/>
          <w:szCs w:val="24"/>
        </w:rPr>
        <w:t>4. CONCLUSÃO</w:t>
      </w:r>
    </w:p>
    <w:p w:rsidR="005D4507" w:rsidRPr="005D4507" w:rsidRDefault="005D4507" w:rsidP="005D4507">
      <w:pPr>
        <w:jc w:val="both"/>
        <w:rPr>
          <w:rFonts w:ascii="Times New Roman" w:hAnsi="Times New Roman" w:cs="Times New Roman"/>
          <w:sz w:val="24"/>
          <w:szCs w:val="24"/>
        </w:rPr>
      </w:pPr>
      <w:r w:rsidRPr="005D4507">
        <w:rPr>
          <w:rFonts w:ascii="Times New Roman" w:hAnsi="Times New Roman" w:cs="Times New Roman"/>
          <w:sz w:val="24"/>
          <w:szCs w:val="24"/>
        </w:rPr>
        <w:t>Considerando a imprevisibilidade da suspensão do processo licitatório, a irreversibilidade do calendário de jogos já divulgado e os prejuízos concretos que adviriam do não prosseguimento do torneio, a contratação emergencial dos serviços de arbitragem é medida inadiável e indispensável para salvaguardar o interesse público, assegurar os direitos dos participantes e garantir a continuidade das atividades esportivas no Município de Quinze de Novembro/RS.</w:t>
      </w:r>
    </w:p>
    <w:p w:rsidR="005D4507" w:rsidRPr="005D4507" w:rsidRDefault="005D4507" w:rsidP="005D4507">
      <w:pPr>
        <w:rPr>
          <w:rFonts w:ascii="Times New Roman" w:hAnsi="Times New Roman" w:cs="Times New Roman"/>
          <w:sz w:val="24"/>
          <w:szCs w:val="24"/>
        </w:rPr>
      </w:pPr>
      <w:r w:rsidRPr="005D4507">
        <w:rPr>
          <w:rFonts w:ascii="Times New Roman" w:hAnsi="Times New Roman" w:cs="Times New Roman"/>
          <w:sz w:val="24"/>
          <w:szCs w:val="24"/>
        </w:rPr>
        <w:t>Dessa forma, justifica-se a dispensa de</w:t>
      </w:r>
      <w:r w:rsidR="00C21C6B">
        <w:rPr>
          <w:rFonts w:ascii="Times New Roman" w:hAnsi="Times New Roman" w:cs="Times New Roman"/>
          <w:sz w:val="24"/>
          <w:szCs w:val="24"/>
        </w:rPr>
        <w:t xml:space="preserve"> licitação com fulcro no Art. 75</w:t>
      </w:r>
      <w:r w:rsidRPr="005D4507">
        <w:rPr>
          <w:rFonts w:ascii="Times New Roman" w:hAnsi="Times New Roman" w:cs="Times New Roman"/>
          <w:sz w:val="24"/>
          <w:szCs w:val="24"/>
        </w:rPr>
        <w:t xml:space="preserve">, inciso </w:t>
      </w:r>
      <w:r w:rsidR="00C21C6B">
        <w:rPr>
          <w:rFonts w:ascii="Times New Roman" w:hAnsi="Times New Roman" w:cs="Times New Roman"/>
          <w:sz w:val="24"/>
          <w:szCs w:val="24"/>
        </w:rPr>
        <w:t>VIII</w:t>
      </w:r>
      <w:r w:rsidRPr="005D4507">
        <w:rPr>
          <w:rFonts w:ascii="Times New Roman" w:hAnsi="Times New Roman" w:cs="Times New Roman"/>
          <w:sz w:val="24"/>
          <w:szCs w:val="24"/>
        </w:rPr>
        <w:t>, da Lei nº 14.133/2021.</w:t>
      </w:r>
    </w:p>
    <w:p w:rsidR="005D4507" w:rsidRPr="005D4507" w:rsidRDefault="005D4507" w:rsidP="005D4507">
      <w:pPr>
        <w:rPr>
          <w:rFonts w:ascii="Times New Roman" w:hAnsi="Times New Roman" w:cs="Times New Roman"/>
          <w:sz w:val="24"/>
          <w:szCs w:val="24"/>
        </w:rPr>
      </w:pPr>
    </w:p>
    <w:p w:rsidR="001269A2" w:rsidRDefault="005D4507" w:rsidP="005D4507">
      <w:pPr>
        <w:rPr>
          <w:rFonts w:ascii="Times New Roman" w:hAnsi="Times New Roman" w:cs="Times New Roman"/>
          <w:sz w:val="24"/>
          <w:szCs w:val="24"/>
        </w:rPr>
      </w:pPr>
      <w:r w:rsidRPr="005D4507">
        <w:rPr>
          <w:rFonts w:ascii="Times New Roman" w:hAnsi="Times New Roman" w:cs="Times New Roman"/>
          <w:sz w:val="24"/>
          <w:szCs w:val="24"/>
        </w:rPr>
        <w:t>Quinze de Novembro/RS, 10 de junho de 2025.</w:t>
      </w:r>
    </w:p>
    <w:p w:rsidR="00C21C6B" w:rsidRDefault="00C21C6B" w:rsidP="005D4507">
      <w:pPr>
        <w:rPr>
          <w:rFonts w:ascii="Times New Roman" w:hAnsi="Times New Roman" w:cs="Times New Roman"/>
          <w:sz w:val="24"/>
          <w:szCs w:val="24"/>
        </w:rPr>
      </w:pPr>
    </w:p>
    <w:p w:rsidR="00C21C6B" w:rsidRPr="00C21C6B" w:rsidRDefault="00C21C6B" w:rsidP="00C21C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1C6B">
        <w:rPr>
          <w:rFonts w:ascii="Times New Roman" w:hAnsi="Times New Roman" w:cs="Times New Roman"/>
          <w:b/>
          <w:sz w:val="24"/>
          <w:szCs w:val="24"/>
        </w:rPr>
        <w:t>Evaldir</w:t>
      </w:r>
      <w:proofErr w:type="spellEnd"/>
      <w:r w:rsidRPr="00C21C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1C6B">
        <w:rPr>
          <w:rFonts w:ascii="Times New Roman" w:hAnsi="Times New Roman" w:cs="Times New Roman"/>
          <w:b/>
          <w:sz w:val="24"/>
          <w:szCs w:val="24"/>
        </w:rPr>
        <w:t>Dresch</w:t>
      </w:r>
      <w:proofErr w:type="spellEnd"/>
      <w:r w:rsidRPr="00C21C6B">
        <w:rPr>
          <w:rFonts w:ascii="Times New Roman" w:hAnsi="Times New Roman" w:cs="Times New Roman"/>
          <w:b/>
          <w:sz w:val="24"/>
          <w:szCs w:val="24"/>
        </w:rPr>
        <w:t xml:space="preserve"> Klein</w:t>
      </w:r>
    </w:p>
    <w:p w:rsidR="00C21C6B" w:rsidRDefault="00C21C6B" w:rsidP="00C2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Coordenador de Desportos</w:t>
      </w:r>
    </w:p>
    <w:p w:rsidR="00C21C6B" w:rsidRDefault="00C21C6B" w:rsidP="00C2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C6B" w:rsidRDefault="00C21C6B" w:rsidP="00C2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Visto:</w:t>
      </w:r>
    </w:p>
    <w:p w:rsidR="00C21C6B" w:rsidRPr="00C21C6B" w:rsidRDefault="00C21C6B" w:rsidP="00C21C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1C6B">
        <w:rPr>
          <w:rFonts w:ascii="Times New Roman" w:hAnsi="Times New Roman" w:cs="Times New Roman"/>
          <w:b/>
          <w:sz w:val="24"/>
          <w:szCs w:val="24"/>
        </w:rPr>
        <w:t>Delvio Jung</w:t>
      </w:r>
    </w:p>
    <w:p w:rsidR="00C21C6B" w:rsidRPr="005D4507" w:rsidRDefault="00C21C6B" w:rsidP="00C2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Assessoria Jurídica OABRS 60.020</w:t>
      </w:r>
    </w:p>
    <w:sectPr w:rsidR="00C21C6B" w:rsidRPr="005D45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07"/>
    <w:rsid w:val="001269A2"/>
    <w:rsid w:val="005D4507"/>
    <w:rsid w:val="00C2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EA387-18A3-4929-9DE3-DDD8008A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701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2025-06-10T15:21:00Z</dcterms:created>
  <dcterms:modified xsi:type="dcterms:W3CDTF">2025-06-10T15:48:00Z</dcterms:modified>
</cp:coreProperties>
</file>